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5BA3F" w14:textId="77777777" w:rsidR="00B941A3" w:rsidRPr="00072595" w:rsidRDefault="00B941A3" w:rsidP="00B941A3">
      <w:pPr>
        <w:spacing w:line="276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t xml:space="preserve">Data availability for </w:t>
      </w:r>
      <w:r w:rsidRPr="0007259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Ogden Model for </w:t>
      </w:r>
      <w:proofErr w:type="gramStart"/>
      <w:r w:rsidRPr="0007259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Characterising  and</w:t>
      </w:r>
      <w:proofErr w:type="gramEnd"/>
      <w:r w:rsidRPr="0007259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Simulation of PPHR Rubber under Different Strain Rates</w:t>
      </w:r>
    </w:p>
    <w:p w14:paraId="0AC158F5" w14:textId="3EE6DA8E" w:rsidR="002D525F" w:rsidRDefault="002D525F"/>
    <w:p w14:paraId="6055627C" w14:textId="77777777" w:rsidR="009D6A81" w:rsidRPr="009D6A81" w:rsidRDefault="009D6A81" w:rsidP="009D6A81">
      <w:pPr>
        <w:pStyle w:val="ListParagraph"/>
        <w:numPr>
          <w:ilvl w:val="0"/>
          <w:numId w:val="1"/>
        </w:numPr>
        <w:spacing w:line="276" w:lineRule="auto"/>
        <w:jc w:val="lowKashida"/>
        <w:rPr>
          <w:rFonts w:asciiTheme="majorBidi" w:hAnsiTheme="majorBidi" w:cstheme="majorBidi"/>
          <w:color w:val="000000" w:themeColor="text1"/>
        </w:rPr>
      </w:pPr>
      <w:r w:rsidRPr="009D6A81">
        <w:rPr>
          <w:rFonts w:asciiTheme="majorBidi" w:hAnsiTheme="majorBidi" w:cstheme="majorBidi"/>
          <w:color w:val="000000" w:themeColor="text1"/>
        </w:rPr>
        <w:t xml:space="preserve">Mandal, U. K., and Aggarwal S., 2001. "Studies on rubber–filler interaction in </w:t>
      </w:r>
      <w:proofErr w:type="spellStart"/>
      <w:r w:rsidRPr="009D6A81">
        <w:rPr>
          <w:rFonts w:asciiTheme="majorBidi" w:hAnsiTheme="majorBidi" w:cstheme="majorBidi"/>
          <w:color w:val="000000" w:themeColor="text1"/>
        </w:rPr>
        <w:t>carboxylated</w:t>
      </w:r>
      <w:proofErr w:type="spellEnd"/>
      <w:r w:rsidRPr="009D6A81">
        <w:rPr>
          <w:rFonts w:asciiTheme="majorBidi" w:hAnsiTheme="majorBidi" w:cstheme="majorBidi"/>
          <w:color w:val="000000" w:themeColor="text1"/>
        </w:rPr>
        <w:t xml:space="preserve"> nitrile rubber through microhardness measurement". </w:t>
      </w:r>
      <w:proofErr w:type="spellStart"/>
      <w:r w:rsidRPr="009D6A81">
        <w:rPr>
          <w:rFonts w:asciiTheme="majorBidi" w:hAnsiTheme="majorBidi" w:cstheme="majorBidi"/>
          <w:color w:val="000000" w:themeColor="text1"/>
        </w:rPr>
        <w:t>Polym</w:t>
      </w:r>
      <w:proofErr w:type="spellEnd"/>
      <w:r w:rsidRPr="009D6A81">
        <w:rPr>
          <w:rFonts w:asciiTheme="majorBidi" w:hAnsiTheme="majorBidi" w:cstheme="majorBidi"/>
          <w:color w:val="000000" w:themeColor="text1"/>
        </w:rPr>
        <w:t xml:space="preserve"> Test 20: 305–311.</w:t>
      </w:r>
    </w:p>
    <w:p w14:paraId="63917535" w14:textId="09823F7C" w:rsidR="009D6A81" w:rsidRPr="009D6A81" w:rsidRDefault="009D6A81" w:rsidP="009D6A81">
      <w:pPr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Applied within the information within lines 77-79 when discussing the use of carbon black within fillers and the strength of the rubber compounds and the manners in which they are increased.</w:t>
      </w:r>
    </w:p>
    <w:p w14:paraId="67669793" w14:textId="2C5FCFBA" w:rsidR="009D6A81" w:rsidRDefault="009D6A81" w:rsidP="009D6A81">
      <w:hyperlink r:id="rId5" w:history="1">
        <w:r w:rsidRPr="00A70893">
          <w:rPr>
            <w:rStyle w:val="Hyperlink"/>
          </w:rPr>
          <w:t>https://www.sciencedirect.com/science/article/pii/S0142941800000362</w:t>
        </w:r>
      </w:hyperlink>
    </w:p>
    <w:p w14:paraId="72B0D0C2" w14:textId="77777777" w:rsidR="009D6A81" w:rsidRDefault="009D6A81" w:rsidP="009D6A81"/>
    <w:p w14:paraId="0173F760" w14:textId="4F9AC02A" w:rsidR="009D6A81" w:rsidRPr="00B941A3" w:rsidRDefault="00B941A3" w:rsidP="009D6A81">
      <w:pPr>
        <w:pStyle w:val="ListParagraph"/>
        <w:numPr>
          <w:ilvl w:val="0"/>
          <w:numId w:val="1"/>
        </w:numPr>
      </w:pPr>
      <w:r w:rsidRPr="00072595">
        <w:rPr>
          <w:rFonts w:asciiTheme="majorBidi" w:hAnsiTheme="majorBidi" w:cstheme="majorBidi"/>
          <w:color w:val="000000" w:themeColor="text1"/>
        </w:rPr>
        <w:t xml:space="preserve">Ogden, R. W., 1972. "Large deformation isotropic elasticity correlation of theory and experiment for incompressible rubberlike solids," </w:t>
      </w:r>
      <w:r w:rsidRPr="00072595">
        <w:rPr>
          <w:rFonts w:asciiTheme="majorBidi" w:hAnsiTheme="majorBidi" w:cstheme="majorBidi"/>
          <w:i/>
          <w:iCs/>
          <w:color w:val="000000" w:themeColor="text1"/>
        </w:rPr>
        <w:t>Proceedings of the Royal Society of London Series A-Mathematical and Physical Sciences</w:t>
      </w:r>
      <w:r w:rsidRPr="00072595">
        <w:rPr>
          <w:rFonts w:asciiTheme="majorBidi" w:hAnsiTheme="majorBidi" w:cstheme="majorBidi"/>
          <w:color w:val="000000" w:themeColor="text1"/>
        </w:rPr>
        <w:t xml:space="preserve"> 326(1567): 565-584.</w:t>
      </w:r>
    </w:p>
    <w:p w14:paraId="64251916" w14:textId="7E405CD8" w:rsidR="00B941A3" w:rsidRDefault="00B941A3" w:rsidP="00B941A3">
      <w:pPr>
        <w:pStyle w:val="ListParagraph"/>
        <w:rPr>
          <w:rFonts w:asciiTheme="majorBidi" w:hAnsiTheme="majorBidi" w:cstheme="majorBidi"/>
          <w:color w:val="000000" w:themeColor="text1"/>
        </w:rPr>
      </w:pPr>
    </w:p>
    <w:p w14:paraId="72794B59" w14:textId="1D95BB2B" w:rsidR="00B941A3" w:rsidRDefault="00B941A3" w:rsidP="00B941A3">
      <w:pPr>
        <w:pStyle w:val="ListParagraph"/>
      </w:pPr>
      <w:r>
        <w:rPr>
          <w:rFonts w:asciiTheme="majorBidi" w:hAnsiTheme="majorBidi" w:cstheme="majorBidi"/>
          <w:color w:val="000000" w:themeColor="text1"/>
        </w:rPr>
        <w:t xml:space="preserve">Applied within the information within lines 153-156 when discussing the suitability for the Ogden model when it came to </w:t>
      </w:r>
      <w:proofErr w:type="spellStart"/>
      <w:r>
        <w:rPr>
          <w:rFonts w:asciiTheme="majorBidi" w:hAnsiTheme="majorBidi" w:cstheme="majorBidi"/>
          <w:color w:val="000000" w:themeColor="text1"/>
        </w:rPr>
        <w:t>incompressibile</w:t>
      </w:r>
      <w:proofErr w:type="spellEnd"/>
      <w:r>
        <w:rPr>
          <w:rFonts w:asciiTheme="majorBidi" w:hAnsiTheme="majorBidi" w:cstheme="majorBidi"/>
          <w:color w:val="000000" w:themeColor="text1"/>
        </w:rPr>
        <w:t xml:space="preserve"> materials subjected to large </w:t>
      </w:r>
      <w:proofErr w:type="spellStart"/>
      <w:r>
        <w:rPr>
          <w:rFonts w:asciiTheme="majorBidi" w:hAnsiTheme="majorBidi" w:cstheme="majorBidi"/>
          <w:color w:val="000000" w:themeColor="text1"/>
        </w:rPr>
        <w:t>deforemations</w:t>
      </w:r>
      <w:proofErr w:type="spellEnd"/>
      <w:r>
        <w:rPr>
          <w:rFonts w:asciiTheme="majorBidi" w:hAnsiTheme="majorBidi" w:cstheme="majorBidi"/>
          <w:color w:val="000000" w:themeColor="text1"/>
        </w:rPr>
        <w:t xml:space="preserve">. Also, </w:t>
      </w:r>
      <w:r w:rsidRPr="00072595">
        <w:rPr>
          <w:rFonts w:asciiTheme="majorBidi" w:hAnsiTheme="majorBidi" w:cstheme="majorBidi"/>
          <w:color w:val="000000" w:themeColor="text1"/>
        </w:rPr>
        <w:t xml:space="preserve">research indicates how the most significant simulation of a </w:t>
      </w:r>
      <w:proofErr w:type="spellStart"/>
      <w:r w:rsidRPr="00072595">
        <w:rPr>
          <w:rFonts w:asciiTheme="majorBidi" w:hAnsiTheme="majorBidi" w:cstheme="majorBidi"/>
          <w:color w:val="000000" w:themeColor="text1"/>
        </w:rPr>
        <w:t>hyperelastic</w:t>
      </w:r>
      <w:proofErr w:type="spellEnd"/>
      <w:r w:rsidRPr="00072595">
        <w:rPr>
          <w:rFonts w:asciiTheme="majorBidi" w:hAnsiTheme="majorBidi" w:cstheme="majorBidi"/>
          <w:color w:val="000000" w:themeColor="text1"/>
        </w:rPr>
        <w:t xml:space="preserve"> model is the most critical parameter in the determination of the strain energy density function</w:t>
      </w:r>
    </w:p>
    <w:p w14:paraId="057106DB" w14:textId="265F5034" w:rsidR="009D6A81" w:rsidRDefault="009D6A81" w:rsidP="009D6A81">
      <w:hyperlink r:id="rId6" w:history="1">
        <w:r w:rsidRPr="00A70893">
          <w:rPr>
            <w:rStyle w:val="Hyperlink"/>
          </w:rPr>
          <w:t>https://royalsocietypublishing.org/doi/10.1098/rspa.1972.0026</w:t>
        </w:r>
      </w:hyperlink>
    </w:p>
    <w:p w14:paraId="6B08CE64" w14:textId="4BE2C3FE" w:rsidR="009D6A81" w:rsidRDefault="009D6A81"/>
    <w:p w14:paraId="5585D63E" w14:textId="1B31B224" w:rsidR="009D6A81" w:rsidRPr="00B941A3" w:rsidRDefault="00B941A3" w:rsidP="00B941A3">
      <w:pPr>
        <w:pStyle w:val="ListParagraph"/>
        <w:numPr>
          <w:ilvl w:val="0"/>
          <w:numId w:val="1"/>
        </w:numPr>
        <w:spacing w:line="276" w:lineRule="auto"/>
        <w:jc w:val="lowKashida"/>
        <w:rPr>
          <w:rFonts w:asciiTheme="majorBidi" w:hAnsiTheme="majorBidi" w:cstheme="majorBidi"/>
          <w:color w:val="000000" w:themeColor="text1"/>
        </w:rPr>
      </w:pPr>
      <w:bookmarkStart w:id="0" w:name="_ENREF_7"/>
      <w:r w:rsidRPr="00B941A3">
        <w:rPr>
          <w:rFonts w:asciiTheme="majorBidi" w:hAnsiTheme="majorBidi" w:cstheme="majorBidi"/>
          <w:color w:val="000000" w:themeColor="text1"/>
        </w:rPr>
        <w:t xml:space="preserve">Ogden, R. W., </w:t>
      </w:r>
      <w:proofErr w:type="spellStart"/>
      <w:r w:rsidRPr="00B941A3">
        <w:rPr>
          <w:rFonts w:asciiTheme="majorBidi" w:hAnsiTheme="majorBidi" w:cstheme="majorBidi"/>
          <w:color w:val="000000" w:themeColor="text1"/>
        </w:rPr>
        <w:t>Saccomandi</w:t>
      </w:r>
      <w:proofErr w:type="spellEnd"/>
      <w:r w:rsidRPr="00B941A3">
        <w:rPr>
          <w:rFonts w:asciiTheme="majorBidi" w:hAnsiTheme="majorBidi" w:cstheme="majorBidi"/>
          <w:color w:val="000000" w:themeColor="text1"/>
        </w:rPr>
        <w:t xml:space="preserve">, G., and </w:t>
      </w:r>
      <w:proofErr w:type="spellStart"/>
      <w:r w:rsidRPr="00B941A3">
        <w:rPr>
          <w:rFonts w:asciiTheme="majorBidi" w:hAnsiTheme="majorBidi" w:cstheme="majorBidi"/>
          <w:color w:val="000000" w:themeColor="text1"/>
        </w:rPr>
        <w:t>Sgura</w:t>
      </w:r>
      <w:proofErr w:type="spellEnd"/>
      <w:r w:rsidRPr="00B941A3">
        <w:rPr>
          <w:rFonts w:asciiTheme="majorBidi" w:hAnsiTheme="majorBidi" w:cstheme="majorBidi"/>
          <w:color w:val="000000" w:themeColor="text1"/>
        </w:rPr>
        <w:t xml:space="preserve">, I., 2004. "Fitting </w:t>
      </w:r>
      <w:proofErr w:type="spellStart"/>
      <w:r w:rsidRPr="00B941A3">
        <w:rPr>
          <w:rFonts w:asciiTheme="majorBidi" w:hAnsiTheme="majorBidi" w:cstheme="majorBidi"/>
          <w:color w:val="000000" w:themeColor="text1"/>
        </w:rPr>
        <w:t>hyperelastic</w:t>
      </w:r>
      <w:proofErr w:type="spellEnd"/>
      <w:r w:rsidRPr="00B941A3">
        <w:rPr>
          <w:rFonts w:asciiTheme="majorBidi" w:hAnsiTheme="majorBidi" w:cstheme="majorBidi"/>
          <w:color w:val="000000" w:themeColor="text1"/>
        </w:rPr>
        <w:t xml:space="preserve"> models to experimental data." </w:t>
      </w:r>
      <w:r w:rsidRPr="00B941A3">
        <w:rPr>
          <w:rFonts w:asciiTheme="majorBidi" w:hAnsiTheme="majorBidi" w:cstheme="majorBidi"/>
          <w:i/>
          <w:iCs/>
          <w:color w:val="000000" w:themeColor="text1"/>
        </w:rPr>
        <w:t>Computational Mechanics</w:t>
      </w:r>
      <w:r w:rsidRPr="00B941A3">
        <w:rPr>
          <w:rFonts w:asciiTheme="majorBidi" w:hAnsiTheme="majorBidi" w:cstheme="majorBidi"/>
          <w:color w:val="000000" w:themeColor="text1"/>
        </w:rPr>
        <w:t xml:space="preserve"> 34(6: 484-502.</w:t>
      </w:r>
      <w:bookmarkEnd w:id="0"/>
    </w:p>
    <w:p w14:paraId="715AD7AD" w14:textId="76734DE5" w:rsidR="00B941A3" w:rsidRDefault="00B941A3" w:rsidP="00B941A3">
      <w:pPr>
        <w:pStyle w:val="ListParagraph"/>
        <w:rPr>
          <w:rFonts w:asciiTheme="majorBidi" w:hAnsiTheme="majorBidi" w:cstheme="majorBidi"/>
          <w:color w:val="000000" w:themeColor="text1"/>
        </w:rPr>
      </w:pPr>
    </w:p>
    <w:p w14:paraId="4FA2A8F7" w14:textId="77251BE9" w:rsidR="009D6A81" w:rsidRPr="00B941A3" w:rsidRDefault="00B941A3" w:rsidP="00B941A3">
      <w:pPr>
        <w:spacing w:line="276" w:lineRule="auto"/>
        <w:jc w:val="lowKashida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 xml:space="preserve">Applied within lines 158-161, </w:t>
      </w:r>
      <w:r w:rsidRPr="00072595">
        <w:rPr>
          <w:rFonts w:asciiTheme="majorBidi" w:hAnsiTheme="majorBidi" w:cstheme="majorBidi"/>
          <w:color w:val="000000" w:themeColor="text1"/>
        </w:rPr>
        <w:t xml:space="preserve">The </w:t>
      </w:r>
      <w:proofErr w:type="spellStart"/>
      <w:r w:rsidRPr="00072595">
        <w:rPr>
          <w:rFonts w:asciiTheme="majorBidi" w:hAnsiTheme="majorBidi" w:cstheme="majorBidi"/>
          <w:color w:val="000000" w:themeColor="text1"/>
        </w:rPr>
        <w:t>hyperelastic</w:t>
      </w:r>
      <w:proofErr w:type="spellEnd"/>
      <w:r w:rsidRPr="00072595">
        <w:rPr>
          <w:rFonts w:asciiTheme="majorBidi" w:hAnsiTheme="majorBidi" w:cstheme="majorBidi"/>
          <w:color w:val="000000" w:themeColor="text1"/>
        </w:rPr>
        <w:t xml:space="preserve"> Ogden function fitting is up to </w:t>
      </w:r>
      <m:oMath>
        <m:r>
          <m:rPr>
            <m:sty m:val="p"/>
          </m:rPr>
          <w:rPr>
            <w:rFonts w:ascii="Cambria Math" w:hAnsi="Cambria Math" w:cstheme="majorBidi"/>
            <w:color w:val="000000" w:themeColor="text1"/>
          </w:rPr>
          <m:t>N</m:t>
        </m:r>
      </m:oMath>
      <w:r w:rsidRPr="00072595">
        <w:rPr>
          <w:rFonts w:asciiTheme="majorBidi" w:hAnsiTheme="majorBidi" w:cstheme="majorBidi"/>
          <w:color w:val="000000" w:themeColor="text1"/>
        </w:rPr>
        <w:t xml:space="preserve">=6 (N is the order of the polynomial).  The strain energy density </w:t>
      </w:r>
      <m:oMath>
        <m:r>
          <m:rPr>
            <m:sty m:val="p"/>
          </m:rPr>
          <w:rPr>
            <w:rFonts w:ascii="Cambria Math" w:hAnsi="Cambria Math" w:cstheme="majorBidi"/>
            <w:color w:val="000000" w:themeColor="text1"/>
          </w:rPr>
          <m:t>U</m:t>
        </m:r>
      </m:oMath>
      <w:r w:rsidRPr="00072595">
        <w:rPr>
          <w:rFonts w:asciiTheme="majorBidi" w:hAnsiTheme="majorBidi" w:cstheme="majorBidi"/>
          <w:color w:val="000000" w:themeColor="text1"/>
        </w:rPr>
        <w:t xml:space="preserve"> function for an Ogden. Subsequently, the material is considered incompressible. The tensile test is used to estimate the form of U</w:t>
      </w:r>
      <w:r>
        <w:rPr>
          <w:rFonts w:asciiTheme="majorBidi" w:hAnsiTheme="majorBidi" w:cstheme="majorBidi"/>
          <w:color w:val="000000" w:themeColor="text1"/>
        </w:rPr>
        <w:t>.</w:t>
      </w:r>
    </w:p>
    <w:p w14:paraId="08FDAB29" w14:textId="781F3DF0" w:rsidR="009D6A81" w:rsidRDefault="00B941A3">
      <w:hyperlink r:id="rId7" w:history="1">
        <w:r w:rsidRPr="00A70893">
          <w:rPr>
            <w:rStyle w:val="Hyperlink"/>
          </w:rPr>
          <w:t>https://hal.archives-ouvertes.fr/hal-01727230/file/ogden2004.pdf</w:t>
        </w:r>
      </w:hyperlink>
    </w:p>
    <w:p w14:paraId="552E002F" w14:textId="77777777" w:rsidR="00B941A3" w:rsidRDefault="00B941A3"/>
    <w:p w14:paraId="2F4262B6" w14:textId="0B1669E1" w:rsidR="009D6A81" w:rsidRPr="00B941A3" w:rsidRDefault="009D6A81" w:rsidP="009D6A81">
      <w:pPr>
        <w:pStyle w:val="ListParagraph"/>
        <w:numPr>
          <w:ilvl w:val="0"/>
          <w:numId w:val="1"/>
        </w:numPr>
      </w:pPr>
      <w:r w:rsidRPr="009D6A81">
        <w:rPr>
          <w:rFonts w:asciiTheme="majorBidi" w:hAnsiTheme="majorBidi" w:cstheme="majorBidi"/>
          <w:color w:val="000000" w:themeColor="text1"/>
        </w:rPr>
        <w:t>Characterisation and modelling of transversely isotropic flexible viscoelastic foam.</w:t>
      </w:r>
    </w:p>
    <w:p w14:paraId="75E8A09F" w14:textId="7866E354" w:rsidR="00B941A3" w:rsidRDefault="00B941A3" w:rsidP="00B941A3">
      <w:pPr>
        <w:pStyle w:val="ListParagraph"/>
        <w:rPr>
          <w:rFonts w:asciiTheme="majorBidi" w:hAnsiTheme="majorBidi" w:cstheme="majorBidi"/>
          <w:color w:val="000000" w:themeColor="text1"/>
        </w:rPr>
      </w:pPr>
    </w:p>
    <w:p w14:paraId="1E2BF931" w14:textId="27FCE815" w:rsidR="00B941A3" w:rsidRPr="009D6A81" w:rsidRDefault="00B941A3" w:rsidP="00B941A3">
      <w:pPr>
        <w:pStyle w:val="ListParagraph"/>
      </w:pPr>
      <w:r>
        <w:t xml:space="preserve">Applied within lines 229-223, </w:t>
      </w:r>
      <w:r w:rsidRPr="00072595">
        <w:rPr>
          <w:rFonts w:asciiTheme="majorBidi" w:hAnsiTheme="majorBidi" w:cstheme="majorBidi"/>
          <w:color w:val="000000" w:themeColor="text1"/>
        </w:rPr>
        <w:t xml:space="preserve">In this work, </w:t>
      </w:r>
      <w:proofErr w:type="spellStart"/>
      <w:r w:rsidRPr="00072595">
        <w:rPr>
          <w:rFonts w:asciiTheme="majorBidi" w:hAnsiTheme="majorBidi" w:cstheme="majorBidi"/>
          <w:color w:val="000000" w:themeColor="text1"/>
        </w:rPr>
        <w:t>hyperelastic</w:t>
      </w:r>
      <w:proofErr w:type="spellEnd"/>
      <w:r w:rsidRPr="00072595">
        <w:rPr>
          <w:rFonts w:asciiTheme="majorBidi" w:hAnsiTheme="majorBidi" w:cstheme="majorBidi"/>
          <w:color w:val="000000" w:themeColor="text1"/>
        </w:rPr>
        <w:t xml:space="preserve"> constitutive modelling is employed in Abaqus TM, with a single element type C3D8RH, cubic shape.  Accordingly, the single element has been used to calculate the Ogden </w:t>
      </w:r>
      <w:proofErr w:type="spellStart"/>
      <w:r w:rsidRPr="00072595">
        <w:rPr>
          <w:rFonts w:asciiTheme="majorBidi" w:hAnsiTheme="majorBidi" w:cstheme="majorBidi"/>
          <w:color w:val="000000" w:themeColor="text1"/>
        </w:rPr>
        <w:t>hyperelastic</w:t>
      </w:r>
      <w:proofErr w:type="spellEnd"/>
      <w:r w:rsidRPr="00072595">
        <w:rPr>
          <w:rFonts w:asciiTheme="majorBidi" w:hAnsiTheme="majorBidi" w:cstheme="majorBidi"/>
          <w:color w:val="000000" w:themeColor="text1"/>
        </w:rPr>
        <w:t xml:space="preserve"> model coefficients (µ, α) and R (Relative root mean square error). The single element to do this is subjected to uniaxial tension to obtain predictions to compare directly with the experimental data</w:t>
      </w:r>
      <w:r>
        <w:rPr>
          <w:rFonts w:asciiTheme="majorBidi" w:hAnsiTheme="majorBidi" w:cstheme="majorBidi"/>
          <w:color w:val="000000" w:themeColor="text1"/>
        </w:rPr>
        <w:t>.</w:t>
      </w:r>
    </w:p>
    <w:p w14:paraId="690C9DCE" w14:textId="33CB47C1" w:rsidR="009D6A81" w:rsidRDefault="009D6A81" w:rsidP="009D6A81">
      <w:pPr>
        <w:ind w:left="360"/>
      </w:pPr>
      <w:hyperlink r:id="rId8" w:history="1">
        <w:r w:rsidRPr="00A70893">
          <w:rPr>
            <w:rStyle w:val="Hyperlink"/>
          </w:rPr>
          <w:t>http://theses.gla.ac.uk/4497/</w:t>
        </w:r>
      </w:hyperlink>
    </w:p>
    <w:p w14:paraId="1C2946D5" w14:textId="77777777" w:rsidR="009D6A81" w:rsidRDefault="009D6A81" w:rsidP="009D6A81">
      <w:pPr>
        <w:pStyle w:val="ListParagraph"/>
      </w:pPr>
    </w:p>
    <w:p w14:paraId="7920CD61" w14:textId="7A740E20" w:rsidR="009D6A81" w:rsidRDefault="009D6A81"/>
    <w:p w14:paraId="514EE69F" w14:textId="5AF24B7C" w:rsidR="009D6A81" w:rsidRDefault="009D6A81"/>
    <w:p w14:paraId="1C46B934" w14:textId="77777777" w:rsidR="009D6A81" w:rsidRDefault="009D6A81"/>
    <w:sectPr w:rsidR="009D6A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AB4DB5"/>
    <w:multiLevelType w:val="hybridMultilevel"/>
    <w:tmpl w:val="51767DA8"/>
    <w:lvl w:ilvl="0" w:tplc="1E40C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YzNTM2MzK3MDIyNTFQ0lEKTi0uzszPAykwrAUAdg2lBCwAAAA="/>
  </w:docVars>
  <w:rsids>
    <w:rsidRoot w:val="007D291B"/>
    <w:rsid w:val="002D525F"/>
    <w:rsid w:val="007D291B"/>
    <w:rsid w:val="009D6A81"/>
    <w:rsid w:val="00B9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CE6F6"/>
  <w15:chartTrackingRefBased/>
  <w15:docId w15:val="{1DAFC338-3B9F-437E-AE46-11DD76A5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6A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6A8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D6A81"/>
    <w:pPr>
      <w:ind w:left="720"/>
      <w:contextualSpacing/>
    </w:pPr>
  </w:style>
  <w:style w:type="table" w:styleId="TableGrid">
    <w:name w:val="Table Grid"/>
    <w:basedOn w:val="TableNormal"/>
    <w:uiPriority w:val="39"/>
    <w:rsid w:val="009D6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941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eses.gla.ac.uk/449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al.archives-ouvertes.fr/hal-01727230/file/ogden200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yalsocietypublishing.org/doi/10.1098/rspa.1972.0026" TargetMode="External"/><Relationship Id="rId5" Type="http://schemas.openxmlformats.org/officeDocument/2006/relationships/hyperlink" Target="https://www.sciencedirect.com/science/article/pii/S014294180000036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Qusai Jebur</dc:creator>
  <cp:keywords/>
  <dc:description/>
  <cp:lastModifiedBy>Qusai Jebur</cp:lastModifiedBy>
  <cp:revision>2</cp:revision>
  <dcterms:created xsi:type="dcterms:W3CDTF">2020-12-28T20:08:00Z</dcterms:created>
  <dcterms:modified xsi:type="dcterms:W3CDTF">2020-12-28T20:08:00Z</dcterms:modified>
</cp:coreProperties>
</file>